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:rsidR="00315AC5" w:rsidRDefault="006E7B0B" w:rsidP="007076E6">
      <w:pPr>
        <w:jc w:val="center"/>
        <w:rPr>
          <w:b/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FA00AD">
        <w:rPr>
          <w:sz w:val="20"/>
          <w:szCs w:val="20"/>
          <w:lang w:val="kk-KZ"/>
        </w:rPr>
        <w:t>VIYa</w:t>
      </w:r>
      <w:r w:rsidR="00B56686">
        <w:rPr>
          <w:sz w:val="20"/>
          <w:szCs w:val="20"/>
          <w:lang w:val="kk-KZ"/>
        </w:rPr>
        <w:t xml:space="preserve"> 22</w:t>
      </w:r>
      <w:r w:rsidR="00B56686">
        <w:rPr>
          <w:sz w:val="20"/>
          <w:szCs w:val="20"/>
          <w:lang w:val="en-US"/>
        </w:rPr>
        <w:t>08</w:t>
      </w:r>
      <w:bookmarkStart w:id="0" w:name="_GoBack"/>
      <w:bookmarkEnd w:id="0"/>
      <w:r w:rsidRPr="00BF2FC5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315AC5">
        <w:rPr>
          <w:color w:val="000000"/>
          <w:sz w:val="27"/>
          <w:szCs w:val="27"/>
        </w:rPr>
        <w:t>89246</w:t>
      </w:r>
      <w:r w:rsidR="00315AC5">
        <w:rPr>
          <w:b/>
          <w:sz w:val="24"/>
          <w:szCs w:val="24"/>
        </w:rPr>
        <w:t xml:space="preserve"> </w:t>
      </w:r>
    </w:p>
    <w:p w:rsidR="00F93C86" w:rsidRPr="00F93C86" w:rsidRDefault="007076E6" w:rsidP="00F93C86">
      <w:pPr>
        <w:jc w:val="center"/>
        <w:rPr>
          <w:sz w:val="24"/>
          <w:szCs w:val="24"/>
        </w:rPr>
      </w:pPr>
      <w:r w:rsidRPr="00F93C86">
        <w:rPr>
          <w:b/>
          <w:sz w:val="24"/>
          <w:szCs w:val="24"/>
        </w:rPr>
        <w:t>«</w:t>
      </w:r>
      <w:r w:rsidR="00F93C86" w:rsidRPr="00F93C86">
        <w:rPr>
          <w:sz w:val="24"/>
          <w:szCs w:val="24"/>
        </w:rPr>
        <w:t>Второй иностранный язык (А1, А2) (немецкий)</w:t>
      </w:r>
    </w:p>
    <w:p w:rsidR="007076E6" w:rsidRPr="00BF2FC5" w:rsidRDefault="007076E6" w:rsidP="007076E6">
      <w:pPr>
        <w:jc w:val="center"/>
        <w:rPr>
          <w:b/>
          <w:sz w:val="24"/>
          <w:szCs w:val="24"/>
        </w:rPr>
      </w:pPr>
    </w:p>
    <w:p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:rsidR="003640B9" w:rsidRPr="00F93C86" w:rsidRDefault="003640B9" w:rsidP="007076E6">
      <w:pPr>
        <w:rPr>
          <w:sz w:val="24"/>
          <w:szCs w:val="24"/>
        </w:rPr>
      </w:pPr>
    </w:p>
    <w:p w:rsidR="00F93C86" w:rsidRPr="00F93C86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  <w:lang w:val="kk-KZ"/>
        </w:rPr>
        <w:t xml:space="preserve">Образовательная программа </w:t>
      </w:r>
      <w:r w:rsidR="00833EF8" w:rsidRPr="00F93C86">
        <w:rPr>
          <w:sz w:val="24"/>
          <w:szCs w:val="24"/>
        </w:rPr>
        <w:t>«</w:t>
      </w:r>
      <w:r w:rsidR="00F93C86" w:rsidRPr="00F93C86">
        <w:rPr>
          <w:sz w:val="24"/>
          <w:szCs w:val="24"/>
        </w:rPr>
        <w:t>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 филология (западные языки)</w:t>
      </w:r>
    </w:p>
    <w:p w:rsidR="00F93C86" w:rsidRPr="00F93C86" w:rsidRDefault="00F93C86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F93C86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</w:rPr>
        <w:t xml:space="preserve">Уровень обучения: </w:t>
      </w:r>
      <w:r w:rsidR="001009CC" w:rsidRPr="00F93C86">
        <w:rPr>
          <w:sz w:val="24"/>
          <w:szCs w:val="24"/>
        </w:rPr>
        <w:t>бакалавриат</w:t>
      </w:r>
    </w:p>
    <w:p w:rsidR="00833EF8" w:rsidRPr="003E045D" w:rsidRDefault="00833EF8" w:rsidP="00880471">
      <w:pPr>
        <w:ind w:left="851"/>
        <w:rPr>
          <w:sz w:val="24"/>
          <w:szCs w:val="24"/>
        </w:rPr>
      </w:pP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F93C86">
        <w:rPr>
          <w:sz w:val="24"/>
          <w:szCs w:val="24"/>
          <w:lang w:val="kk-KZ"/>
        </w:rPr>
        <w:t>2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F93C86">
        <w:rPr>
          <w:sz w:val="24"/>
          <w:szCs w:val="24"/>
          <w:lang w:val="kk-KZ"/>
        </w:rPr>
        <w:t>3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1009CC">
        <w:rPr>
          <w:sz w:val="24"/>
          <w:szCs w:val="24"/>
        </w:rPr>
        <w:t>6</w:t>
      </w:r>
    </w:p>
    <w:p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634BA1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Куратова О.А.</w:t>
      </w:r>
      <w:r w:rsidRPr="00F93C86">
        <w:rPr>
          <w:bCs/>
          <w:kern w:val="32"/>
          <w:sz w:val="24"/>
          <w:szCs w:val="24"/>
          <w:lang w:val="kk-KZ" w:eastAsia="ru-RU"/>
        </w:rPr>
        <w:t xml:space="preserve">,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доцент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</w:t>
      </w: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программы по образовательной программе </w:t>
      </w:r>
      <w:r w:rsidR="00F93C86" w:rsidRPr="00F93C86">
        <w:rPr>
          <w:sz w:val="24"/>
          <w:szCs w:val="24"/>
        </w:rPr>
        <w:t>«6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</w:t>
      </w:r>
    </w:p>
    <w:p w:rsidR="00F93C86" w:rsidRPr="00634BA1" w:rsidRDefault="00F93C86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 w:rsidRPr="00F93C86">
        <w:rPr>
          <w:sz w:val="24"/>
          <w:szCs w:val="24"/>
        </w:rPr>
        <w:t xml:space="preserve"> </w:t>
      </w:r>
      <w:r w:rsidR="00634BA1">
        <w:rPr>
          <w:sz w:val="24"/>
          <w:szCs w:val="24"/>
        </w:rPr>
        <w:t xml:space="preserve">           </w:t>
      </w:r>
      <w:r w:rsidRPr="00F93C86">
        <w:rPr>
          <w:sz w:val="24"/>
          <w:szCs w:val="24"/>
        </w:rPr>
        <w:t>филология (западные языки)</w:t>
      </w:r>
      <w:r w:rsidR="00634BA1">
        <w:rPr>
          <w:sz w:val="24"/>
          <w:szCs w:val="24"/>
        </w:rPr>
        <w:t>»</w:t>
      </w:r>
    </w:p>
    <w:p w:rsidR="00F9597B" w:rsidRPr="00F93C86" w:rsidRDefault="00F9597B" w:rsidP="00634BA1">
      <w:pPr>
        <w:ind w:left="709"/>
        <w:jc w:val="both"/>
        <w:rPr>
          <w:bCs/>
          <w:kern w:val="32"/>
          <w:sz w:val="24"/>
          <w:szCs w:val="24"/>
          <w:lang w:eastAsia="ru-RU"/>
        </w:rPr>
      </w:pPr>
    </w:p>
    <w:p w:rsidR="00F9597B" w:rsidRPr="00AE4004" w:rsidRDefault="00F9597B" w:rsidP="00634BA1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bookmarkStart w:id="1" w:name="_Hlk150210184"/>
      <w:r w:rsidRPr="00634BA1">
        <w:rPr>
          <w:b/>
          <w:sz w:val="24"/>
          <w:szCs w:val="24"/>
        </w:rPr>
        <w:t>Цель дисциплины:</w:t>
      </w:r>
      <w:r w:rsidR="00F93C86" w:rsidRPr="00634BA1">
        <w:rPr>
          <w:sz w:val="20"/>
          <w:szCs w:val="20"/>
        </w:rPr>
        <w:t xml:space="preserve"> Сформировать способность развивать коммуникативную компетенцию до уровня выживания, т.е. элементарного владения вторым иностранным языком для простейшей коммуникации на этом уровне. Будут изучены: все виды речевой деятельности на начальном уровне в тематике семьи, хобби, интересов.</w:t>
      </w: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Ожидаемые результаты обучения по дисциплине:</w:t>
      </w:r>
      <w:r w:rsidR="00F93C86" w:rsidRPr="00634BA1">
        <w:rPr>
          <w:b/>
          <w:sz w:val="24"/>
          <w:szCs w:val="24"/>
        </w:rPr>
        <w:t xml:space="preserve"> 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634BA1">
        <w:rPr>
          <w:sz w:val="20"/>
          <w:szCs w:val="20"/>
        </w:rPr>
        <w:t>РО</w:t>
      </w:r>
      <w:r w:rsidR="00634BA1"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1. Владеть диалогической речью: ритуализированным диалогом; диалогом-обменом информацией, мнениями </w:t>
      </w:r>
      <w:r w:rsidRPr="00E52938">
        <w:rPr>
          <w:sz w:val="20"/>
          <w:szCs w:val="20"/>
        </w:rPr>
        <w:t>(беседа), диалог-опросом (интервью), дискуссией (полиглот).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52938">
        <w:rPr>
          <w:sz w:val="20"/>
          <w:szCs w:val="20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bookmarkEnd w:id="1"/>
    <w:p w:rsidR="00CE3F80" w:rsidRPr="00B93EDE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B93EDE">
        <w:rPr>
          <w:b/>
          <w:sz w:val="24"/>
          <w:szCs w:val="24"/>
        </w:rPr>
        <w:t>Основные темы, изучаемые по дисциплине</w:t>
      </w:r>
      <w:r w:rsidR="002E6FF2" w:rsidRPr="00B93EDE">
        <w:rPr>
          <w:b/>
          <w:sz w:val="24"/>
          <w:szCs w:val="24"/>
        </w:rPr>
        <w:t>.</w:t>
      </w:r>
    </w:p>
    <w:p w:rsidR="00CE3F80" w:rsidRPr="00B93EDE" w:rsidRDefault="00F93C86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B93EDE">
        <w:rPr>
          <w:b/>
          <w:sz w:val="24"/>
          <w:szCs w:val="24"/>
          <w:lang w:val="de-DE"/>
        </w:rPr>
        <w:t xml:space="preserve"> 1. </w:t>
      </w:r>
      <w:r w:rsidR="00B93EDE" w:rsidRPr="00B93EDE">
        <w:rPr>
          <w:b/>
          <w:sz w:val="24"/>
          <w:szCs w:val="24"/>
          <w:lang w:val="de-DE"/>
        </w:rPr>
        <w:t>Einführungsthemen</w:t>
      </w:r>
    </w:p>
    <w:p w:rsidR="00B93EDE" w:rsidRPr="00B93EDE" w:rsidRDefault="00B93EDE" w:rsidP="00B93EDE">
      <w:pPr>
        <w:pStyle w:val="aa"/>
        <w:ind w:left="131" w:firstLine="720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1. Bekanntschaft.  Biographie. Beruf.</w:t>
      </w:r>
    </w:p>
    <w:p w:rsidR="00CE3F80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  <w:lang w:val="de-DE"/>
        </w:rPr>
        <w:t>Die Familie. Der Bestand der Familie. Die nahen Beziehungen. Die familiären Beziehungen.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2. 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Das Haus. Die Wohnung. Die Wohnungseinrichtung der Wohnung. Die Einzugsfeier.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4. Die Kleidung. Die Käufe. Die Supermärkte und die Boutiquen.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5. Die Zeit. Die Jahreszeiten.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6.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Den Werktag. Die Ordnung des Tages.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7.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Die Ferien, die Freizeit, die Begeisterung, den Sport in meinem Leben.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</w:p>
    <w:p w:rsidR="009762AC" w:rsidRPr="00CE38C3" w:rsidRDefault="00B93EDE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CE38C3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8. Die Weltkarte. Die Länder der studierten Sprachen und Kasachstan.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9. Die Feiertage, die Traditionen, die Bräuche.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10. Die Feiertage, die Traditionen, die Bräuche in Kasachstan. 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11. Die Reise nach Deutschland.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12. Die Hautstadt. Meine Heimatstadt.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13. Das Studium an der Universität.  Die Lehrbeschäftigunge.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14. Der Werktag. Die Beziehung zum Studium. Die professionellen Qualitäten der zukünftigen Fachkraft.</w:t>
      </w:r>
    </w:p>
    <w:p w:rsidR="009762AC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15. Mein zukünftiger Beruf. Die Pläne auf die Zukunft. </w:t>
      </w:r>
      <w:r w:rsidRPr="00CE38C3">
        <w:rPr>
          <w:sz w:val="20"/>
          <w:szCs w:val="20"/>
        </w:rPr>
        <w:t>Erste Erfahrung.</w:t>
      </w:r>
    </w:p>
    <w:p w:rsidR="00CE38C3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</w:p>
    <w:p w:rsidR="008C1223" w:rsidRP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Список рекомендуемых источников</w:t>
      </w: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Основная литература: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1. Themen aktuell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Arbeitsbuch), Hueber Verlag, 2018.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2. Netzwerk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Arbeitsbuch), Langenscheidt, 2018.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3. Optimal 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Arbeitsbuch), Langenscheidt, Berlin und München, 2020.</w:t>
      </w:r>
    </w:p>
    <w:p w:rsidR="00634BA1" w:rsidRPr="00BF2FC5" w:rsidRDefault="00634BA1" w:rsidP="008C1223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Дополнительная литература: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131" w:firstLine="720"/>
        <w:rPr>
          <w:sz w:val="20"/>
          <w:szCs w:val="20"/>
        </w:rPr>
      </w:pPr>
      <w:r w:rsidRPr="00634BA1">
        <w:rPr>
          <w:sz w:val="24"/>
          <w:szCs w:val="24"/>
        </w:rPr>
        <w:t xml:space="preserve">1. </w:t>
      </w:r>
      <w:r w:rsidRPr="00634BA1">
        <w:rPr>
          <w:sz w:val="20"/>
          <w:szCs w:val="20"/>
        </w:rPr>
        <w:t>Б.М.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>Завъялова. Практический курс немецкого языка. «Юрайт»Москва,  2019.</w:t>
      </w:r>
    </w:p>
    <w:p w:rsidR="00634BA1" w:rsidRPr="00634BA1" w:rsidRDefault="00634BA1" w:rsidP="00634BA1">
      <w:pP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>В.С.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Попов. 222 правила современного немецкого языка. Гум. Изд. Центр «Владос», 2018. </w:t>
      </w:r>
    </w:p>
    <w:p w:rsid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Интернет-ресурсы:</w:t>
      </w:r>
    </w:p>
    <w:p w:rsidR="00634BA1" w:rsidRPr="00634BA1" w:rsidRDefault="00634BA1" w:rsidP="00634BA1">
      <w:pPr>
        <w:adjustRightInd w:val="0"/>
        <w:spacing w:after="27"/>
        <w:ind w:left="851"/>
        <w:rPr>
          <w:rStyle w:val="ab"/>
          <w:sz w:val="20"/>
          <w:szCs w:val="20"/>
          <w:shd w:val="clear" w:color="auto" w:fill="FFFFFF"/>
        </w:rPr>
      </w:pPr>
      <w:r w:rsidRPr="00634BA1">
        <w:rPr>
          <w:sz w:val="20"/>
          <w:szCs w:val="20"/>
        </w:rPr>
        <w:t xml:space="preserve">1. </w:t>
      </w:r>
      <w:hyperlink r:id="rId6" w:history="1">
        <w:r w:rsidRPr="00634BA1"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34BA1"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http://www.profiz.ru/sr/7_2020/formy_registracii_dokov.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3. </w:t>
      </w:r>
      <w:hyperlink r:id="rId7" w:history="1">
        <w:r w:rsidRPr="00634BA1">
          <w:rPr>
            <w:rStyle w:val="ab"/>
            <w:sz w:val="20"/>
            <w:szCs w:val="20"/>
          </w:rPr>
          <w:t>http://www.msu.ru/entrance/</w:t>
        </w:r>
      </w:hyperlink>
      <w:r w:rsidRPr="00634BA1">
        <w:rPr>
          <w:sz w:val="20"/>
          <w:szCs w:val="20"/>
        </w:rPr>
        <w:t>.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4. www.stiftung-aufarbeitung.de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5. www.deutsche-digitale-bibliothek.de</w:t>
      </w:r>
    </w:p>
    <w:p w:rsidR="008C1223" w:rsidRPr="00634BA1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E32EE2" w:rsidRDefault="00634BA1" w:rsidP="00634BA1">
      <w:pPr>
        <w:ind w:left="288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 </w:t>
      </w:r>
      <w:r w:rsidR="00E32EE2" w:rsidRPr="00634BA1">
        <w:rPr>
          <w:b/>
          <w:bCs/>
          <w:sz w:val="20"/>
          <w:szCs w:val="20"/>
        </w:rPr>
        <w:t>Дисциплина</w:t>
      </w:r>
      <w:r w:rsidR="00E32EE2" w:rsidRPr="00634BA1">
        <w:rPr>
          <w:sz w:val="20"/>
          <w:szCs w:val="20"/>
        </w:rPr>
        <w:t xml:space="preserve">: </w:t>
      </w:r>
      <w:r w:rsidRPr="00E52938">
        <w:rPr>
          <w:sz w:val="20"/>
          <w:szCs w:val="20"/>
        </w:rPr>
        <w:t>Второй иностранный язык (А1, А2) (немецкий)</w:t>
      </w:r>
      <w:r>
        <w:rPr>
          <w:sz w:val="20"/>
          <w:szCs w:val="20"/>
        </w:rPr>
        <w:t xml:space="preserve">. </w:t>
      </w:r>
      <w:r w:rsidR="00E32EE2">
        <w:rPr>
          <w:b/>
          <w:bCs/>
          <w:sz w:val="20"/>
          <w:szCs w:val="20"/>
        </w:rPr>
        <w:t>Форма:</w:t>
      </w:r>
      <w:r w:rsidR="00E32EE2"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="00E32EE2" w:rsidRPr="00C04CDD">
        <w:rPr>
          <w:b/>
          <w:bCs/>
          <w:sz w:val="20"/>
          <w:szCs w:val="20"/>
          <w:u w:val="single"/>
        </w:rPr>
        <w:t>.</w:t>
      </w:r>
      <w:r w:rsidR="00E32EE2"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балльно-рейтинговой буквенной системой</w:t>
      </w:r>
    </w:p>
    <w:p w:rsidR="00880471" w:rsidRPr="008C1223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634BA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</w:t>
      </w:r>
      <w:r w:rsidR="00634BA1">
        <w:rPr>
          <w:sz w:val="24"/>
          <w:szCs w:val="24"/>
        </w:rPr>
        <w:t xml:space="preserve">                   О.А.Куратова</w:t>
      </w:r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117</cp:revision>
  <dcterms:created xsi:type="dcterms:W3CDTF">2023-10-28T09:01:00Z</dcterms:created>
  <dcterms:modified xsi:type="dcterms:W3CDTF">2023-11-08T14:26:00Z</dcterms:modified>
</cp:coreProperties>
</file>